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e8859186aafc292dfdb3e2bd571e2b657a63c8"/>
    <w:p>
      <w:pPr>
        <w:pStyle w:val="Heading2"/>
      </w:pPr>
      <w:r>
        <w:t xml:space="preserve">Voorwaarden voor het oprichten van een vuurwerkvereniging</w:t>
      </w:r>
    </w:p>
    <w:p>
      <w:pPr>
        <w:pStyle w:val="FirstParagraph"/>
      </w:pPr>
      <w:r>
        <w:t xml:space="preserve">Wilt u als vereniging tijdens de jaarwisseling vuurwerk uit categorie F2 afsteken? Dan moet de vereniging voldoen aan zowel de algemene eisen voor verenigingen als aan de aanvullende voorwaarden uit de Wet veilige jaarwisseling.</w:t>
      </w:r>
    </w:p>
    <w:bookmarkStart w:id="20" w:name="algemene-voorwaarden"/>
    <w:p>
      <w:pPr>
        <w:pStyle w:val="Heading3"/>
      </w:pPr>
      <w:r>
        <w:t xml:space="preserve">Algemene voorwaarden</w:t>
      </w:r>
    </w:p>
    <w:p>
      <w:pPr>
        <w:pStyle w:val="Compact"/>
        <w:numPr>
          <w:ilvl w:val="0"/>
          <w:numId w:val="1001"/>
        </w:numPr>
      </w:pPr>
      <w:r>
        <w:t xml:space="preserve">De vereniging moet bestaan uit minimaal twee leden en een bestuur.</w:t>
      </w:r>
    </w:p>
    <w:p>
      <w:pPr>
        <w:pStyle w:val="Compact"/>
        <w:numPr>
          <w:ilvl w:val="0"/>
          <w:numId w:val="1001"/>
        </w:numPr>
      </w:pPr>
      <w:r>
        <w:t xml:space="preserve">De vereniging moet zijn</w:t>
      </w:r>
      <w:r>
        <w:t xml:space="preserve"> </w:t>
      </w:r>
      <w:r>
        <w:rPr>
          <w:b/>
          <w:bCs/>
        </w:rPr>
        <w:t xml:space="preserve">ingeschreven bij de Kamer van Koophandel (KVK)</w:t>
      </w:r>
      <w:r>
        <w:t xml:space="preserve">. Gemeenten verstrekken alleen een ontheffing aan verenigingen of stichtingen die officieel zijn ingeschreven.</w:t>
      </w:r>
    </w:p>
    <w:p>
      <w:pPr>
        <w:pStyle w:val="Compact"/>
        <w:numPr>
          <w:ilvl w:val="0"/>
          <w:numId w:val="1001"/>
        </w:numPr>
      </w:pPr>
      <w:r>
        <w:t xml:space="preserve">De vereniging moet een duidelijke doelstelling en statuten hebben. Een notariële akte is niet verplicht om een ontheffing aan te vragen, maar kan afhankelijk van de gekozen rechtsvorm wel wenselijk zijn.</w:t>
      </w:r>
    </w:p>
    <w:bookmarkEnd w:id="20"/>
    <w:bookmarkStart w:id="21" w:name="Xf63388a83c6f8ebe7a6b307f715183ddf39ea83"/>
    <w:p>
      <w:pPr>
        <w:pStyle w:val="Heading3"/>
      </w:pPr>
      <w:r>
        <w:t xml:space="preserve">Specifieke voorwaarden voor een vuurwerkontheffing</w:t>
      </w:r>
    </w:p>
    <w:p>
      <w:pPr>
        <w:pStyle w:val="FirstParagraph"/>
      </w:pPr>
      <w:r>
        <w:t xml:space="preserve">Om een ontheffing van de gemeente te krijgen, moet de vereniging bovendien voldoen aan een aantal aanvullende eisen:</w:t>
      </w:r>
    </w:p>
    <w:p>
      <w:pPr>
        <w:pStyle w:val="Compact"/>
        <w:numPr>
          <w:ilvl w:val="0"/>
          <w:numId w:val="1002"/>
        </w:numPr>
      </w:pPr>
      <w:r>
        <w:t xml:space="preserve">De vereniging moet een</w:t>
      </w:r>
      <w:r>
        <w:t xml:space="preserve"> </w:t>
      </w:r>
      <w:r>
        <w:rPr>
          <w:b/>
          <w:bCs/>
        </w:rPr>
        <w:t xml:space="preserve">lokale binding</w:t>
      </w:r>
      <w:r>
        <w:t xml:space="preserve"> </w:t>
      </w:r>
      <w:r>
        <w:t xml:space="preserve">hebben met de gemeente waar de ontheffing wordt aangevraagd. Dit kan blijken uit het vestigingsadres, de statutaire doelstelling of eerdere activiteiten in de gemeente.</w:t>
      </w:r>
    </w:p>
    <w:p>
      <w:pPr>
        <w:pStyle w:val="Compact"/>
        <w:numPr>
          <w:ilvl w:val="0"/>
          <w:numId w:val="1002"/>
        </w:numPr>
      </w:pPr>
      <w:r>
        <w:t xml:space="preserve">Bij de aanvraag moeten één of twee</w:t>
      </w:r>
      <w:r>
        <w:t xml:space="preserve"> </w:t>
      </w:r>
      <w:r>
        <w:rPr>
          <w:b/>
          <w:bCs/>
        </w:rPr>
        <w:t xml:space="preserve">supervisors</w:t>
      </w:r>
      <w:r>
        <w:t xml:space="preserve"> </w:t>
      </w:r>
      <w:r>
        <w:t xml:space="preserve">worden aangewezen. Zij zijn tijdens het afsteken verantwoordelijk voor de veiligheid en de naleving van de vergunning.</w:t>
      </w:r>
    </w:p>
    <w:p>
      <w:pPr>
        <w:pStyle w:val="Compact"/>
        <w:numPr>
          <w:ilvl w:val="0"/>
          <w:numId w:val="1002"/>
        </w:numPr>
      </w:pPr>
      <w:r>
        <w:t xml:space="preserve">De vereniging mag maximaal</w:t>
      </w:r>
      <w:r>
        <w:t xml:space="preserve"> </w:t>
      </w:r>
      <w:r>
        <w:rPr>
          <w:b/>
          <w:bCs/>
        </w:rPr>
        <w:t xml:space="preserve">acht aangewezen ontbranders</w:t>
      </w:r>
      <w:r>
        <w:t xml:space="preserve"> </w:t>
      </w:r>
      <w:r>
        <w:t xml:space="preserve">opgeven die het vuurwerk daadwerkelijk mogen afsteken.</w:t>
      </w:r>
    </w:p>
    <w:p>
      <w:pPr>
        <w:pStyle w:val="Compact"/>
        <w:numPr>
          <w:ilvl w:val="0"/>
          <w:numId w:val="1002"/>
        </w:numPr>
      </w:pPr>
      <w:r>
        <w:t xml:space="preserve">Er moet een</w:t>
      </w:r>
      <w:r>
        <w:t xml:space="preserve"> </w:t>
      </w:r>
      <w:r>
        <w:rPr>
          <w:b/>
          <w:bCs/>
        </w:rPr>
        <w:t xml:space="preserve">veiligheidsplan</w:t>
      </w:r>
      <w:r>
        <w:t xml:space="preserve"> </w:t>
      </w:r>
      <w:r>
        <w:t xml:space="preserve">worden ingediend. Hierin staat onder andere:</w:t>
      </w:r>
    </w:p>
    <w:p>
      <w:pPr>
        <w:pStyle w:val="Compact"/>
        <w:numPr>
          <w:ilvl w:val="1"/>
          <w:numId w:val="1003"/>
        </w:numPr>
      </w:pPr>
      <w:r>
        <w:t xml:space="preserve">de afsteeklocatie;</w:t>
      </w:r>
    </w:p>
    <w:p>
      <w:pPr>
        <w:pStyle w:val="Compact"/>
        <w:numPr>
          <w:ilvl w:val="1"/>
          <w:numId w:val="1003"/>
        </w:numPr>
      </w:pPr>
      <w:r>
        <w:t xml:space="preserve">de veiligheidsafstanden;</w:t>
      </w:r>
    </w:p>
    <w:p>
      <w:pPr>
        <w:pStyle w:val="Compact"/>
        <w:numPr>
          <w:ilvl w:val="1"/>
          <w:numId w:val="1003"/>
        </w:numPr>
      </w:pPr>
      <w:r>
        <w:t xml:space="preserve">de veiligheidszone;</w:t>
      </w:r>
    </w:p>
    <w:p>
      <w:pPr>
        <w:pStyle w:val="Compact"/>
        <w:numPr>
          <w:ilvl w:val="1"/>
          <w:numId w:val="1003"/>
        </w:numPr>
      </w:pPr>
      <w:r>
        <w:t xml:space="preserve">een situatietekening van het terrein;</w:t>
      </w:r>
    </w:p>
    <w:p>
      <w:pPr>
        <w:pStyle w:val="Compact"/>
        <w:numPr>
          <w:ilvl w:val="1"/>
          <w:numId w:val="1003"/>
        </w:numPr>
      </w:pPr>
      <w:r>
        <w:t xml:space="preserve">de veiligheidsmaatregelen tijdens het evenement.</w:t>
      </w:r>
    </w:p>
    <w:p>
      <w:pPr>
        <w:pStyle w:val="Compact"/>
        <w:numPr>
          <w:ilvl w:val="0"/>
          <w:numId w:val="1002"/>
        </w:numPr>
      </w:pPr>
      <w:r>
        <w:t xml:space="preserve">De vereniging is zelf verantwoordelijk voor het naleven van alle voorschriften uit de vergunning en kan aansprakelijk worden gesteld bij overtredingen of schade.</w:t>
      </w:r>
    </w:p>
    <w:bookmarkEnd w:id="21"/>
    <w:bookmarkStart w:id="22" w:name="de-gemeente-beslist"/>
    <w:p>
      <w:pPr>
        <w:pStyle w:val="Heading3"/>
      </w:pPr>
      <w:r>
        <w:t xml:space="preserve">De gemeente beslist</w:t>
      </w:r>
    </w:p>
    <w:p>
      <w:pPr>
        <w:pStyle w:val="FirstParagraph"/>
      </w:pPr>
      <w:r>
        <w:t xml:space="preserve">Ook wanneer aan alle voorwaarden is voldaan, bestaat</w:t>
      </w:r>
      <w:r>
        <w:t xml:space="preserve"> </w:t>
      </w:r>
      <w:r>
        <w:rPr>
          <w:b/>
          <w:bCs/>
        </w:rPr>
        <w:t xml:space="preserve">geen automatisch recht op een vergunning</w:t>
      </w:r>
      <w:r>
        <w:t xml:space="preserve">. De burgemeester beslist per aanvraag of een ontheffing wordt verleend. Gemeenten mogen hiervoor eigen beleidsregels opstellen en kunnen besluiten geen of slechts een beperkt aantal ontheffingen af te geven.</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2026-07-28T16:27:47Z</dcterms:created>
  <dcterms:modified xsi:type="dcterms:W3CDTF">2026-07-28T16:27:47Z</dcterms:modified>
</cp:coreProperties>
</file>

<file path=docProps/custom.xml><?xml version="1.0" encoding="utf-8"?>
<Properties xmlns="http://schemas.openxmlformats.org/officeDocument/2006/custom-properties" xmlns:vt="http://schemas.openxmlformats.org/officeDocument/2006/docPropsVTypes"/>
</file>